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0A2D96AE"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2C3B8B">
        <w:rPr>
          <w:rFonts w:ascii="Times" w:hAnsi="Times"/>
          <w:b/>
          <w:bCs/>
          <w:i/>
          <w:color w:val="000000" w:themeColor="text1"/>
          <w:sz w:val="44"/>
          <w:szCs w:val="44"/>
        </w:rPr>
        <w:t>MATEMATYKA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2C3B8B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8</w:t>
      </w:r>
      <w:r w:rsidR="00E80A49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- DWUJĘZYCZNE</w:t>
      </w:r>
      <w:bookmarkStart w:id="0" w:name="_GoBack"/>
      <w:bookmarkEnd w:id="0"/>
    </w:p>
    <w:p w14:paraId="157D840B" w14:textId="0B3F5B69"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80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  <w:gridCol w:w="26"/>
      </w:tblGrid>
      <w:tr w:rsidR="00B54F99" w14:paraId="38DE69C2" w14:textId="77777777" w:rsidTr="003C6666">
        <w:tc>
          <w:tcPr>
            <w:tcW w:w="14480" w:type="dxa"/>
            <w:gridSpan w:val="6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3C6666">
        <w:tc>
          <w:tcPr>
            <w:tcW w:w="14480" w:type="dxa"/>
            <w:gridSpan w:val="6"/>
          </w:tcPr>
          <w:p w14:paraId="3D120F44" w14:textId="6558AC28" w:rsidR="00B54F99" w:rsidRPr="00B54F99" w:rsidRDefault="00B54F99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453F44">
              <w:t xml:space="preserve"> Dział 1. Potęgi i pierwiastki</w:t>
            </w:r>
          </w:p>
        </w:tc>
      </w:tr>
      <w:tr w:rsidR="00B54F99" w14:paraId="5C8F0CD3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7222395A" w14:textId="07A379D4" w:rsidR="00B54F99" w:rsidRPr="007A5F88" w:rsidRDefault="00453F44" w:rsidP="00E55A9E">
            <w:pPr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t>• oblicza wartości potęg o wykładniku całkowitym dodatnim i całkowitej podstawie</w:t>
            </w:r>
            <w:r w:rsidRPr="007A5F88">
              <w:rPr>
                <w:sz w:val="20"/>
                <w:szCs w:val="20"/>
              </w:rPr>
              <w:br/>
              <w:t xml:space="preserve">• oblicza wartość dwuargumentowego wyrażenia arytmetycznego zawierającego potęgi o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mnożenia lub dzielenia potęg o tym samym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mnożenia lub dzielenia potęg o tej samej podstawie i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potęgowania potęgi o wykładnikach całkowitych dodatnich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notację wykładniczą do przedstawiania bardzo dużych i małych liczb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lastRenderedPageBreak/>
              <w:t xml:space="preserve">• przekształca proste wyrażenia algebraiczne, np. z jedną zmienną, z zastosowaniem reguł potęgowania o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oblicza wartości pierwiastków kwadratowych i sześciennych z liczb, które są odpowiednio kwadratami lub sześcianami liczb wymiernych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mnożenia lub dzielenia dwóch pierwiastków drugiego lub trzeciego stopnia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rozkłada całkowitą liczbę podpierwiastkową w pierwiastkach kwadratowych i sześciennych na dwa czynniki takie, aby jeden czynnik był odpowiednio kwadratem lub sześcianem liczby całkowitej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>• wyłącza czynnik naturalny przed znak pierwiastka i włącza czynnik naturalny pod znak pierwiastka</w:t>
            </w:r>
            <w:r w:rsidRPr="007A5F88">
              <w:rPr>
                <w:sz w:val="20"/>
                <w:szCs w:val="20"/>
              </w:rPr>
              <w:br/>
              <w:t>• określa przybliżoną wartość liczby przedstawionej za pomocą pierwiastka drugiego lub trzeciego stopnia</w:t>
            </w:r>
            <w:r w:rsidRPr="007A5F88">
              <w:rPr>
                <w:sz w:val="20"/>
                <w:szCs w:val="20"/>
              </w:rPr>
              <w:br/>
              <w:t>• wykorzystuje kalkulator do potęgowania i pierwiastkowania</w:t>
            </w:r>
          </w:p>
        </w:tc>
        <w:tc>
          <w:tcPr>
            <w:tcW w:w="2693" w:type="dxa"/>
          </w:tcPr>
          <w:p w14:paraId="25FF2889" w14:textId="583B0FAD" w:rsidR="00B54F99" w:rsidRPr="007A5F88" w:rsidRDefault="003C6666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lastRenderedPageBreak/>
              <w:t>• stosuje łącznie wzory dotyczące mnożenia, dzielenia, potęgowania potęg o wykładniku naturalnym do obliczania wartości prostego wyrażenia</w:t>
            </w:r>
            <w:r w:rsidRPr="007A5F88">
              <w:rPr>
                <w:sz w:val="20"/>
                <w:szCs w:val="20"/>
              </w:rPr>
              <w:br/>
              <w:t xml:space="preserve">• przedstawia potęgę o wykładniku naturalnym w postaci iloczynu potęg lub ilorazu </w:t>
            </w:r>
            <w:r w:rsidR="002C3B8B" w:rsidRPr="007A5F88">
              <w:rPr>
                <w:sz w:val="20"/>
                <w:szCs w:val="20"/>
              </w:rPr>
              <w:t xml:space="preserve">potęg, lub w postaci potęgi </w:t>
            </w:r>
            <w:proofErr w:type="spellStart"/>
            <w:r w:rsidR="002C3B8B" w:rsidRPr="007A5F88">
              <w:rPr>
                <w:sz w:val="20"/>
                <w:szCs w:val="20"/>
              </w:rPr>
              <w:t>pot</w:t>
            </w:r>
            <w:r w:rsidR="00F35B2E" w:rsidRPr="007A5F88">
              <w:rPr>
                <w:sz w:val="20"/>
                <w:szCs w:val="20"/>
              </w:rPr>
              <w:t>ę</w:t>
            </w:r>
            <w:r w:rsidRPr="007A5F88">
              <w:rPr>
                <w:sz w:val="20"/>
                <w:szCs w:val="20"/>
              </w:rPr>
              <w:t>gi</w:t>
            </w:r>
            <w:proofErr w:type="spellEnd"/>
            <w:r w:rsidRPr="007A5F88">
              <w:rPr>
                <w:sz w:val="20"/>
                <w:szCs w:val="20"/>
              </w:rPr>
              <w:br/>
              <w:t>• wyraża za pomocą notacji wykładniczej o wykładniku całkowitym podstawowe jednostki miar</w:t>
            </w:r>
            <w:r w:rsidRPr="007A5F88">
              <w:rPr>
                <w:sz w:val="20"/>
                <w:szCs w:val="20"/>
              </w:rPr>
              <w:br/>
              <w:t>• wskazuje liczbę najmniejszą i największą w zbiorze liczb zawierającym potęgi o wykładniku naturalnym 3</w:t>
            </w:r>
            <w:r w:rsidRPr="007A5F88">
              <w:rPr>
                <w:sz w:val="20"/>
                <w:szCs w:val="20"/>
              </w:rPr>
              <w:br/>
              <w:t xml:space="preserve">• wyłącza czynnik liczbowy przed znak pierwiastka i </w:t>
            </w:r>
            <w:r w:rsidRPr="007A5F88">
              <w:rPr>
                <w:sz w:val="20"/>
                <w:szCs w:val="20"/>
              </w:rPr>
              <w:lastRenderedPageBreak/>
              <w:t>włącza czynnik liczbowy pod znak pierwiastka</w:t>
            </w:r>
            <w:r w:rsidRPr="007A5F88">
              <w:rPr>
                <w:sz w:val="20"/>
                <w:szCs w:val="20"/>
              </w:rPr>
              <w:br/>
              <w:t>• oblicza pierwiastek z iloczynu i ilorazu oraz przedstawia pierwiastek w postaci iloczynu lub ilorazu pierwiastków</w:t>
            </w:r>
            <w:r w:rsidRPr="007A5F88">
              <w:rPr>
                <w:sz w:val="20"/>
                <w:szCs w:val="20"/>
              </w:rPr>
              <w:br/>
              <w:t>• wskazuje liczbę najmniejszą i największą w zbiorze liczb zawierającym pierwiastki</w:t>
            </w:r>
          </w:p>
        </w:tc>
        <w:tc>
          <w:tcPr>
            <w:tcW w:w="3261" w:type="dxa"/>
          </w:tcPr>
          <w:p w14:paraId="64FBDDA2" w14:textId="77777777" w:rsidR="00FE7223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lastRenderedPageBreak/>
              <w:t>• podaje własnymi słowami definicje: potęgi o wykładniku całkowitym dodatnim, pierwiastka kwadratowego i sześciennego</w:t>
            </w:r>
          </w:p>
          <w:p w14:paraId="48C2C68B" w14:textId="40669A39" w:rsidR="00B54F99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t>• stosuje łącznie wszystkie twierdzenia dotyczące potęgowania o wykładniku naturalnym do obliczania wartości złożonych wyrażeń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>• rozwiązuje zadania tekstowe z zastosowaniem notacji wykładniczej wyrażającej bardzo duże i bardzo małe liczb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>• szacuje wartości wyrażeń zawierających potęgi o wykładniku naturalnym oraz pierwiastki drugiego i trzeciego stopnia</w:t>
            </w:r>
          </w:p>
        </w:tc>
        <w:tc>
          <w:tcPr>
            <w:tcW w:w="2835" w:type="dxa"/>
          </w:tcPr>
          <w:p w14:paraId="734793DE" w14:textId="4B510245" w:rsidR="00B54F99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>porównuje wartości potęg lub pierwiastków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>porządkuje, np. w ciąg rosnący, zbiór potęg o wykładniku naturalnym i pierwiastków stosuje łącznie wszystkie twierdzenia dotyczące potęgowania i pierwiastkowania do obliczania wartości złożonych wyrażeń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>usuwa niewymierność z mianownika ułamka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rozwiązuje zadania o podwyższonym stopniu trudności, np. zadania na dowodzenie z zastosowaniem potęg o wykładniku 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 xml:space="preserve">naturalnym i pierwiastków 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Pr="007A5F88">
              <w:rPr>
                <w:sz w:val="20"/>
                <w:szCs w:val="20"/>
              </w:rPr>
              <w:t xml:space="preserve"> zapisuje wszystkie wzory z rozdziału Potęgi i pierwiastki oraz opisuje je poprawnym </w:t>
            </w:r>
            <w:r w:rsidRPr="007A5F88">
              <w:rPr>
                <w:sz w:val="20"/>
                <w:szCs w:val="20"/>
              </w:rPr>
              <w:lastRenderedPageBreak/>
              <w:t xml:space="preserve">językiem matematycznym 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Pr="007A5F88">
              <w:rPr>
                <w:sz w:val="20"/>
                <w:szCs w:val="20"/>
              </w:rPr>
              <w:t xml:space="preserve"> oszacowuje bez użycia kalkulatora wartości złożonych wyrażeń zawierających działania na potęgach o wykładniku naturalnym oraz pierwiastkach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Pr="007A5F88">
              <w:rPr>
                <w:sz w:val="20"/>
                <w:szCs w:val="20"/>
              </w:rPr>
              <w:t xml:space="preserve"> rozwiązuje zadania-problemy, np. dotyczące badania podzielności liczb podanych w postaci wyrażenia zawierającego potęgi o wykładniku naturalnym</w:t>
            </w:r>
          </w:p>
        </w:tc>
        <w:tc>
          <w:tcPr>
            <w:tcW w:w="2693" w:type="dxa"/>
          </w:tcPr>
          <w:p w14:paraId="1C008F88" w14:textId="3F30D882" w:rsidR="00B54F99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lastRenderedPageBreak/>
              <w:t>• rozwiązuje równania, w których niewiadoma jest liczbą podpierwiastkową lub czynnikiem przed pierwiastkiem, lub wykładnikiem potęgi</w:t>
            </w:r>
          </w:p>
        </w:tc>
      </w:tr>
      <w:tr w:rsidR="00B54F99" w14:paraId="61BAE555" w14:textId="77777777" w:rsidTr="003C6666">
        <w:tc>
          <w:tcPr>
            <w:tcW w:w="14480" w:type="dxa"/>
            <w:gridSpan w:val="6"/>
          </w:tcPr>
          <w:p w14:paraId="711585CC" w14:textId="1D644027" w:rsidR="00B54F99" w:rsidRPr="00B54F99" w:rsidRDefault="00B54F99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9D7165">
              <w:t xml:space="preserve"> Dział 2. Własności figur płaskich</w:t>
            </w:r>
          </w:p>
        </w:tc>
      </w:tr>
      <w:tr w:rsidR="00B54F99" w14:paraId="7451050A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6523B497" w14:textId="77777777" w:rsidR="009921D1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sym w:font="Symbol" w:char="F0B7"/>
            </w:r>
            <w:r w:rsidR="009921D1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>rozpoznaje wielokąty foremne i podaje ich nazwy</w:t>
            </w:r>
            <w:r w:rsidRPr="00FD38B4">
              <w:rPr>
                <w:sz w:val="20"/>
                <w:szCs w:val="20"/>
              </w:rPr>
              <w:br/>
              <w:t xml:space="preserve">• </w:t>
            </w:r>
            <w:r w:rsidR="009921D1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wzory na obliczanie długości przekątnej kwadratu i wysokości trójkąta </w:t>
            </w:r>
            <w:r w:rsidRPr="00FD38B4">
              <w:rPr>
                <w:sz w:val="20"/>
                <w:szCs w:val="20"/>
              </w:rPr>
              <w:lastRenderedPageBreak/>
              <w:t xml:space="preserve">równobocznego </w:t>
            </w:r>
            <w:r w:rsidRPr="00FD38B4">
              <w:rPr>
                <w:sz w:val="20"/>
                <w:szCs w:val="20"/>
              </w:rPr>
              <w:br/>
              <w:t xml:space="preserve">• stosuje wzory na obliczanie pól kwadratu, trójkąta równobocznego i sześciokąta foremnego </w:t>
            </w:r>
          </w:p>
          <w:p w14:paraId="59FCE264" w14:textId="00C3731C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zna twierdzenie Pitagorasa, oblicza długość przeciwprostokątnej korzystając z twierdzenia Pitagorasa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znajduje trójkąty prostokątne w figurze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oblicza długość przekątnej kwadratu znając długość boku </w:t>
            </w:r>
            <w:r w:rsidRPr="00FD38B4">
              <w:rPr>
                <w:sz w:val="20"/>
                <w:szCs w:val="20"/>
              </w:rPr>
              <w:br/>
              <w:t xml:space="preserve">• rozpoznaje wielokąty wypukłe i wklęsłe </w:t>
            </w:r>
            <w:r w:rsidRPr="00FD38B4">
              <w:rPr>
                <w:sz w:val="20"/>
                <w:szCs w:val="20"/>
              </w:rPr>
              <w:br/>
              <w:t xml:space="preserve">• oblicza pola wielokątów metodą podziału na mniejsze wielokąty lub uzupełniania do większych wielokątów </w:t>
            </w:r>
            <w:r w:rsidRPr="00FD38B4">
              <w:rPr>
                <w:sz w:val="20"/>
                <w:szCs w:val="20"/>
              </w:rPr>
              <w:br/>
              <w:t>• dla danych dwóch punktów kratowych stosuje regułę wyznaczania innych punktów kratowych należących do prostej przechodzącej przez te punkty</w:t>
            </w:r>
          </w:p>
        </w:tc>
        <w:tc>
          <w:tcPr>
            <w:tcW w:w="2693" w:type="dxa"/>
          </w:tcPr>
          <w:p w14:paraId="5BC7E8CA" w14:textId="1F3A79E2" w:rsidR="00011A23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>• stosuje własności wielokątów foremnych do rozwiązywania zadań</w:t>
            </w:r>
          </w:p>
          <w:p w14:paraId="55860179" w14:textId="0668535A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 miarę kąta pięciokąta i sześciokąta </w:t>
            </w:r>
            <w:r w:rsidRPr="00FD38B4">
              <w:rPr>
                <w:sz w:val="20"/>
                <w:szCs w:val="20"/>
              </w:rPr>
              <w:lastRenderedPageBreak/>
              <w:t xml:space="preserve">foremnego </w:t>
            </w:r>
            <w:r w:rsidRPr="00FD38B4">
              <w:rPr>
                <w:sz w:val="20"/>
                <w:szCs w:val="20"/>
              </w:rPr>
              <w:br/>
              <w:t xml:space="preserve">• wyznacza osie symetrii trójkąta, czworokąta, pięciokąta i sześciokąta foremnego </w:t>
            </w:r>
            <w:r w:rsidRPr="00FD38B4">
              <w:rPr>
                <w:sz w:val="20"/>
                <w:szCs w:val="20"/>
              </w:rPr>
              <w:br/>
              <w:t xml:space="preserve">• wyznacza przekątne czworokąta, pięciokąta i sześciokąta foremnego </w:t>
            </w:r>
            <w:r w:rsidRPr="00FD38B4">
              <w:rPr>
                <w:sz w:val="20"/>
                <w:szCs w:val="20"/>
              </w:rPr>
              <w:br/>
              <w:t xml:space="preserve">• stosuje własności trójkątów prostokątnych o kątach ostrych 45°, 45° oraz 30°, 60° do rozwiązywania zadań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oblicza długości przyprostokątnych korzystając z twierdzenia Pitagorasa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stosuje twierdzenie Pitagorasa w zadaniach o trójkątach, prostokątach, rombach i trapezach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zna wzór na obliczanie </w:t>
            </w:r>
            <w:r w:rsidR="002A6C9B" w:rsidRPr="00FD38B4">
              <w:rPr>
                <w:sz w:val="20"/>
                <w:szCs w:val="20"/>
              </w:rPr>
              <w:t xml:space="preserve">pola </w:t>
            </w:r>
            <w:r w:rsidRPr="00FD38B4">
              <w:rPr>
                <w:sz w:val="20"/>
                <w:szCs w:val="20"/>
              </w:rPr>
              <w:t xml:space="preserve">trójkąta równobocznego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oblicza długości boków lub pola kwadratów znając długości ich przekątnych</w:t>
            </w:r>
          </w:p>
        </w:tc>
        <w:tc>
          <w:tcPr>
            <w:tcW w:w="3261" w:type="dxa"/>
          </w:tcPr>
          <w:p w14:paraId="10F3756C" w14:textId="44DA9AB9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podaje własnymi słowami definicje wielokątów: foremnych, wypukłych i wklęsłych </w:t>
            </w:r>
            <w:r w:rsidRPr="00FD38B4">
              <w:rPr>
                <w:sz w:val="20"/>
                <w:szCs w:val="20"/>
              </w:rPr>
              <w:br/>
              <w:t xml:space="preserve">• oblicza miarę kąta dowolnego wielokąta foremnego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t xml:space="preserve">• podaje liczbę osi symetrii dowolnego wielokąta foremnego </w:t>
            </w:r>
            <w:r w:rsidRPr="00FD38B4">
              <w:rPr>
                <w:sz w:val="20"/>
                <w:szCs w:val="20"/>
              </w:rPr>
              <w:br/>
              <w:t xml:space="preserve">• </w:t>
            </w:r>
            <w:r w:rsidR="00BA27B2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zależności między długościami boków w trójkątach prostokątnych o kątach ostrych 45°, 45° oraz 30°, 60° do rozwiązywania zadań </w:t>
            </w:r>
            <w:r w:rsidR="00E42B59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14:paraId="66EC6A60" w14:textId="57F8AEC5" w:rsidR="00B54F99" w:rsidRPr="00FD38B4" w:rsidRDefault="00E42B59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</w:t>
            </w:r>
            <w:r w:rsidR="009D7165" w:rsidRPr="00FD38B4">
              <w:rPr>
                <w:sz w:val="20"/>
                <w:szCs w:val="20"/>
              </w:rPr>
              <w:t xml:space="preserve">podaje liczbę przekątnych dowolnego wielokąta foremnego </w:t>
            </w:r>
            <w:r w:rsidR="009D7165" w:rsidRPr="00FD38B4">
              <w:rPr>
                <w:sz w:val="20"/>
                <w:szCs w:val="20"/>
              </w:rPr>
              <w:br/>
              <w:t xml:space="preserve">• wyprowadza wzory na obliczanie długości przekątnej </w:t>
            </w:r>
            <w:r w:rsidR="009D7165" w:rsidRPr="00FD38B4">
              <w:rPr>
                <w:sz w:val="20"/>
                <w:szCs w:val="20"/>
              </w:rPr>
              <w:lastRenderedPageBreak/>
              <w:t xml:space="preserve">kwadratu i dłuższej przekątnej sześciokąta foremnego oraz wysokości trójkąta równobocznego </w:t>
            </w:r>
            <w:r w:rsidR="009D7165" w:rsidRPr="00FD38B4">
              <w:rPr>
                <w:sz w:val="20"/>
                <w:szCs w:val="20"/>
              </w:rPr>
              <w:br/>
              <w:t xml:space="preserve">• wyprowadza wzory na obliczanie pola trójkąta równobocznego i sześciokąta foremnego </w:t>
            </w:r>
            <w:r w:rsidR="009D7165" w:rsidRPr="00FD38B4">
              <w:rPr>
                <w:sz w:val="20"/>
                <w:szCs w:val="20"/>
              </w:rPr>
              <w:br/>
            </w:r>
            <w:r w:rsidR="009D7165" w:rsidRPr="00FD38B4">
              <w:rPr>
                <w:sz w:val="20"/>
                <w:szCs w:val="20"/>
              </w:rPr>
              <w:sym w:font="Symbol" w:char="F0B7"/>
            </w:r>
            <w:r w:rsidR="009D7165" w:rsidRPr="00FD38B4">
              <w:rPr>
                <w:sz w:val="20"/>
                <w:szCs w:val="20"/>
              </w:rPr>
              <w:t xml:space="preserve"> rozwiązuje zadania tekstowe związane z przekątnymi kwadratów i wysokością i trójkątów </w:t>
            </w:r>
            <w:r w:rsidR="009D7165" w:rsidRPr="00FD38B4">
              <w:rPr>
                <w:sz w:val="20"/>
                <w:szCs w:val="20"/>
              </w:rPr>
              <w:br/>
            </w:r>
            <w:r w:rsidR="009D7165" w:rsidRPr="00FD38B4">
              <w:rPr>
                <w:sz w:val="20"/>
                <w:szCs w:val="20"/>
              </w:rPr>
              <w:sym w:font="Symbol" w:char="F0B7"/>
            </w:r>
            <w:r w:rsidR="009D7165" w:rsidRPr="00FD38B4">
              <w:rPr>
                <w:sz w:val="20"/>
                <w:szCs w:val="20"/>
              </w:rPr>
              <w:t xml:space="preserve"> rozwiązuje zadania z wykorzystaniem zależności między bokami trójkąta o kątach 90, 45, 45 stopni oraz 30,60 i 90 stopni </w:t>
            </w:r>
            <w:r w:rsidR="009D7165" w:rsidRPr="00FD38B4">
              <w:rPr>
                <w:sz w:val="20"/>
                <w:szCs w:val="20"/>
              </w:rPr>
              <w:br/>
              <w:t xml:space="preserve">• rozwiązuje </w:t>
            </w:r>
            <w:r w:rsidR="00BA27B2" w:rsidRPr="00FD38B4">
              <w:rPr>
                <w:sz w:val="20"/>
                <w:szCs w:val="20"/>
              </w:rPr>
              <w:t>z</w:t>
            </w:r>
            <w:r w:rsidR="009D7165" w:rsidRPr="00FD38B4">
              <w:rPr>
                <w:sz w:val="20"/>
                <w:szCs w:val="20"/>
              </w:rPr>
              <w:t xml:space="preserve">adania z wykorzystaniem własności różnych wielokątów wypukłych i wklęsłych </w:t>
            </w:r>
            <w:r w:rsidR="009D7165" w:rsidRPr="00FD38B4">
              <w:rPr>
                <w:sz w:val="20"/>
                <w:szCs w:val="20"/>
              </w:rPr>
              <w:br/>
              <w:t>• wyznacza współrzędne kolejnych współliniowych punktów kratowych w układzie współrzędnych</w:t>
            </w:r>
          </w:p>
        </w:tc>
        <w:tc>
          <w:tcPr>
            <w:tcW w:w="2693" w:type="dxa"/>
          </w:tcPr>
          <w:p w14:paraId="16B9E348" w14:textId="23EB69A9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rozpoznaje, kiedy zastosowanie reguły otrzymywania współliniowych punktów kratowych daje kolejne punkty, a kiedy nie </w:t>
            </w:r>
            <w:r w:rsidR="000A0CE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sym w:font="Symbol" w:char="F0B7"/>
            </w:r>
            <w:r w:rsidRPr="00FD38B4">
              <w:rPr>
                <w:sz w:val="20"/>
                <w:szCs w:val="20"/>
              </w:rPr>
              <w:t xml:space="preserve"> stosuje twierdzenie Pitagorasa do rozwiązania zadań problemowych</w:t>
            </w:r>
            <w:r w:rsidR="00D8355B" w:rsidRPr="00FD38B4">
              <w:rPr>
                <w:sz w:val="20"/>
                <w:szCs w:val="20"/>
              </w:rPr>
              <w:t xml:space="preserve"> i zadań na dowodzenie</w:t>
            </w:r>
          </w:p>
        </w:tc>
      </w:tr>
      <w:tr w:rsidR="00B54F99" w14:paraId="75B792B1" w14:textId="77777777" w:rsidTr="003C6666">
        <w:tc>
          <w:tcPr>
            <w:tcW w:w="14480" w:type="dxa"/>
            <w:gridSpan w:val="6"/>
          </w:tcPr>
          <w:p w14:paraId="3171CC4E" w14:textId="283E4384" w:rsidR="00B54F99" w:rsidRPr="00B54F99" w:rsidRDefault="00B54F99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A0CEF">
              <w:t xml:space="preserve"> Dział 3. Rachunek algebraiczny i równania</w:t>
            </w:r>
          </w:p>
        </w:tc>
      </w:tr>
      <w:tr w:rsidR="00B54F99" w14:paraId="1F565939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1E837FA6" w14:textId="4E78F35A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zapisuje wyniki prostych działań w postaci wyrażeń algebraicznych jednej lub kilku zmiennych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wartość liczbową wyrażeń algebraicznych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mnoży sumy algebraiczne przez jednomian i dodaje wyrażenia powstałe z mnożenia sum algebraicznych przez jednomian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mnoży dwumian przez </w:t>
            </w:r>
            <w:r w:rsidRPr="00FD38B4">
              <w:rPr>
                <w:sz w:val="20"/>
                <w:szCs w:val="20"/>
              </w:rPr>
              <w:lastRenderedPageBreak/>
              <w:t>dwumian, dokonując redukcji wyrazów podobnych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równania pierwszego stopnia z jedną niewiadomą metodą równań równoważnych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zadania tekstowe za pomocą równań pierwszego stopnia z jedną niewiadomą</w:t>
            </w:r>
          </w:p>
        </w:tc>
        <w:tc>
          <w:tcPr>
            <w:tcW w:w="2693" w:type="dxa"/>
          </w:tcPr>
          <w:p w14:paraId="35C4B3C9" w14:textId="3393F709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zapisuje zależności przedstawione słownie lub na rysunku w postaci wyrażeń algebraicznych jednej lub kilku zmiennych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równania, które po</w:t>
            </w:r>
            <w:r w:rsidR="004170C9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 xml:space="preserve">przekształceniach wyrażeń algebraicznych sprowadzają się do równań pierwszego stopnia z jedną niewiadomą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t xml:space="preserve">• przekształca wzory, aby wyznaczyć zadaną wielkość we wzorach geometrycznych (np. pól figur) i fizycznych (np. dotyczących prędkości, drogi i czasu) </w:t>
            </w:r>
          </w:p>
        </w:tc>
        <w:tc>
          <w:tcPr>
            <w:tcW w:w="3261" w:type="dxa"/>
          </w:tcPr>
          <w:p w14:paraId="5631ED80" w14:textId="26D921A1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zapisuje rozwiązania zadań tekstowych w postaci wyrażeń algebraicznych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zadania przedstawione w postaci rysunku lub opisane słownie z zastosowaniem mnożenia sumy algebraicznej przez jednomian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wartość liczbową złożonych wyrażeń algebraicznych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równania pierwszego </w:t>
            </w:r>
            <w:r w:rsidRPr="00FD38B4">
              <w:rPr>
                <w:sz w:val="20"/>
                <w:szCs w:val="20"/>
              </w:rPr>
              <w:lastRenderedPageBreak/>
              <w:t xml:space="preserve">stopnia z jedną niewiadomą, które mają jedno rozwiązanie, nieskończenie wiele rozwiązań albo nie mają rozwiązania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przekształca wzory o złożonej strukturze, aby wyznaczyć zadaną wielkość</w:t>
            </w:r>
          </w:p>
        </w:tc>
        <w:tc>
          <w:tcPr>
            <w:tcW w:w="2835" w:type="dxa"/>
          </w:tcPr>
          <w:p w14:paraId="54712C47" w14:textId="0D6765B2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podnosi dwumian do kwadratu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równania, które wymagają wielu przekształceń, aby je doprowadzić do równań pierwszego stopnia z jedną niewiadomą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</w:t>
            </w:r>
            <w:r w:rsidR="00267E7C" w:rsidRPr="00FD38B4">
              <w:rPr>
                <w:sz w:val="20"/>
                <w:szCs w:val="20"/>
              </w:rPr>
              <w:t xml:space="preserve"> problemowe</w:t>
            </w:r>
            <w:r w:rsidRPr="00FD38B4">
              <w:rPr>
                <w:sz w:val="20"/>
                <w:szCs w:val="20"/>
              </w:rPr>
              <w:t xml:space="preserve"> zadania tekstowe za pomocą równań pierwszego stopnia z </w:t>
            </w:r>
            <w:r w:rsidRPr="00FD38B4">
              <w:rPr>
                <w:sz w:val="20"/>
                <w:szCs w:val="20"/>
              </w:rPr>
              <w:lastRenderedPageBreak/>
              <w:t>jedną niewiadomą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="00267E7C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>odkrywa reguły opisane słownie i przedstawia je w postaci wyrażeń algebraicznych</w:t>
            </w:r>
          </w:p>
        </w:tc>
        <w:tc>
          <w:tcPr>
            <w:tcW w:w="2693" w:type="dxa"/>
          </w:tcPr>
          <w:p w14:paraId="14BC8566" w14:textId="5AC1D354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ustala reguły: mnożenia jednomianu przez sumę algebraiczną oraz mnożenia dwóch sum algebraicznych </w:t>
            </w:r>
            <w:r w:rsidR="001F59C6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stosuje rachunek algebraiczny do rozwiązywania zadań na dowodzenie</w:t>
            </w:r>
          </w:p>
        </w:tc>
      </w:tr>
      <w:tr w:rsidR="00285718" w14:paraId="5A60D7EB" w14:textId="77777777" w:rsidTr="003C6666">
        <w:tc>
          <w:tcPr>
            <w:tcW w:w="14480" w:type="dxa"/>
            <w:gridSpan w:val="6"/>
          </w:tcPr>
          <w:p w14:paraId="5EFE3C6C" w14:textId="1316C6C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285718" w14:paraId="723905BE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504846A9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EDCE061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650ED07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003C6666">
        <w:tc>
          <w:tcPr>
            <w:tcW w:w="14480" w:type="dxa"/>
            <w:gridSpan w:val="6"/>
          </w:tcPr>
          <w:p w14:paraId="109E50BF" w14:textId="4A3B0F1F" w:rsidR="00285718" w:rsidRPr="00B54F99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FD0614">
              <w:t xml:space="preserve"> Dział 4. Bryły</w:t>
            </w:r>
          </w:p>
        </w:tc>
      </w:tr>
      <w:tr w:rsidR="00285718" w14:paraId="6F544EA7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21EC40EF" w14:textId="77777777" w:rsidR="00F147B0" w:rsidRPr="00FD38B4" w:rsidRDefault="006026BD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rozpoznaje graniastosłupy proste, prawidłowe i pochyłe </w:t>
            </w:r>
            <w:r w:rsidRPr="00FD38B4">
              <w:rPr>
                <w:sz w:val="20"/>
                <w:szCs w:val="20"/>
              </w:rPr>
              <w:br/>
              <w:t xml:space="preserve">• wskazuje podstawowe elementy graniastosłupów (np. krawędzie, wysokość, wysokości ścian bocznych, przekątne) </w:t>
            </w:r>
            <w:r w:rsidRPr="00FD38B4">
              <w:rPr>
                <w:sz w:val="20"/>
                <w:szCs w:val="20"/>
              </w:rPr>
              <w:br/>
              <w:t>• oblicza pola powierzchni i objętości graniastosłupów prostych i prawidłowych</w:t>
            </w:r>
            <w:r w:rsidRPr="00FD38B4">
              <w:rPr>
                <w:sz w:val="20"/>
                <w:szCs w:val="20"/>
              </w:rPr>
              <w:br/>
              <w:t xml:space="preserve">• wśród różnych brył wyróżnia ostrosłupy i podaje przykłady takich brył np. w architekturze, otoczeniu </w:t>
            </w:r>
            <w:r w:rsidRPr="00FD38B4">
              <w:rPr>
                <w:sz w:val="20"/>
                <w:szCs w:val="20"/>
              </w:rPr>
              <w:br/>
              <w:t>• rozpoznaje ostrosłupy prawidłowe</w:t>
            </w:r>
            <w:r w:rsidRPr="00FD38B4">
              <w:rPr>
                <w:sz w:val="20"/>
                <w:szCs w:val="20"/>
              </w:rPr>
              <w:br/>
              <w:t xml:space="preserve">• wskazuje podstawowe elementy ostrosłupów (np. krawędzie podstawy, krawędzie boczne, wysokość bryły, wysokości ścian bocznych)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t xml:space="preserve">• oblicza pole powierzchni i objętość ostrosłupów prawidłowych </w:t>
            </w:r>
            <w:r w:rsidRPr="00FD38B4">
              <w:rPr>
                <w:sz w:val="20"/>
                <w:szCs w:val="20"/>
              </w:rPr>
              <w:br/>
              <w:t xml:space="preserve">• wyróżnia bryły obrotowe wśród innych brył </w:t>
            </w:r>
            <w:r w:rsidRPr="00FD38B4">
              <w:rPr>
                <w:sz w:val="20"/>
                <w:szCs w:val="20"/>
              </w:rPr>
              <w:br/>
              <w:t>• rozpoznaje walce, stożki i kule w sytuacjach praktycznych i wskazuje te bryły wśród innych modeli brył</w:t>
            </w:r>
          </w:p>
          <w:p w14:paraId="3C2362A4" w14:textId="025592DE" w:rsidR="00285718" w:rsidRPr="00FD38B4" w:rsidRDefault="006026BD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wskazuje oś obrotu bryły obrotowe</w:t>
            </w:r>
            <w:r w:rsidR="00F147B0" w:rsidRPr="00FD38B4">
              <w:rPr>
                <w:sz w:val="20"/>
                <w:szCs w:val="20"/>
              </w:rPr>
              <w:t>j</w:t>
            </w:r>
          </w:p>
        </w:tc>
        <w:tc>
          <w:tcPr>
            <w:tcW w:w="2693" w:type="dxa"/>
          </w:tcPr>
          <w:p w14:paraId="348C1428" w14:textId="09672A91" w:rsidR="0028571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sym w:font="Symbol" w:char="F0B7"/>
            </w:r>
            <w:r w:rsidR="00F147B0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 xml:space="preserve">stosuje wzór na długość przekątnej sześcianu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podaje nazwy różnych ostrosłupów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rozpoznaje siatki ostrosłupów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</w:t>
            </w:r>
            <w:r w:rsidR="00F147B0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 xml:space="preserve">zadania o tematyce praktycznej z zastosowaniem własności graniastosłupów i ostrosłupów oraz brył obrotowych takich jak walec, stożek i kula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wyznacza na modelu podstawowe przekroje: graniastosłupów, ostrosłupów i brył obrotowych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zadania o tematyce praktycznej z zastosowaniem obliczania </w:t>
            </w:r>
            <w:r w:rsidRPr="00FD38B4">
              <w:rPr>
                <w:sz w:val="20"/>
                <w:szCs w:val="20"/>
              </w:rPr>
              <w:lastRenderedPageBreak/>
              <w:t xml:space="preserve">pola powierzchni i objętości graniastosłupów i ostrosłupów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>wykorzystuje twierdzenie Pitagorasa do obliczania długości odcinków w ostrosłupach i graniastosłupach</w:t>
            </w:r>
          </w:p>
        </w:tc>
        <w:tc>
          <w:tcPr>
            <w:tcW w:w="3261" w:type="dxa"/>
          </w:tcPr>
          <w:p w14:paraId="5C7C61C8" w14:textId="77777777" w:rsidR="004E485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zaznacza na rysunkach graniastosłupów, ostrosłupów i brył obrotowych ich przekroje oraz rozwiązuje zadania dotyczące tych przekrojów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rysuje podstawowe przekroje brył w rzeczywistych wymiarach </w:t>
            </w:r>
            <w:r w:rsidR="00D73067" w:rsidRPr="00FD38B4">
              <w:rPr>
                <w:sz w:val="20"/>
                <w:szCs w:val="20"/>
              </w:rPr>
              <w:br/>
            </w:r>
            <w:r w:rsidR="004E4858" w:rsidRPr="00FD38B4">
              <w:rPr>
                <w:sz w:val="20"/>
                <w:szCs w:val="20"/>
              </w:rPr>
              <w:t>• rysuje graniastosłupy i ostrosłupy oraz ich siatki</w:t>
            </w:r>
          </w:p>
          <w:p w14:paraId="7CEE0F8E" w14:textId="2D0CBB5B" w:rsidR="00285718" w:rsidRPr="00FD38B4" w:rsidRDefault="004E4858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rysuje walce, stożki i kule</w:t>
            </w:r>
          </w:p>
        </w:tc>
        <w:tc>
          <w:tcPr>
            <w:tcW w:w="2835" w:type="dxa"/>
          </w:tcPr>
          <w:p w14:paraId="06839E72" w14:textId="77777777" w:rsidR="003A323F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wyznacza liczbę przekątnych dowolnego graniastosłupa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wyprowadza wzór na długość przekątnej sześcianu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wskazuje przekroje osiowe i poprzeczne brył obrotowych</w:t>
            </w:r>
          </w:p>
          <w:p w14:paraId="53D7B04C" w14:textId="410F6432" w:rsidR="0028571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stosuje własności trójkątów prostokątnych o kątach ostrych 45°, 45° oraz 30°, 60° do obliczania długości odcinków w graniastosłupach i ostrosłupach </w:t>
            </w:r>
          </w:p>
        </w:tc>
        <w:tc>
          <w:tcPr>
            <w:tcW w:w="2693" w:type="dxa"/>
          </w:tcPr>
          <w:p w14:paraId="14933B3D" w14:textId="0F86FFC0" w:rsidR="0028571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wykorzystuje własności graniastosłupów, ostrosłupów i brył obrotowych w zadaniach</w:t>
            </w:r>
            <w:r w:rsidR="003A323F" w:rsidRPr="00FD38B4">
              <w:rPr>
                <w:sz w:val="20"/>
                <w:szCs w:val="20"/>
              </w:rPr>
              <w:t xml:space="preserve"> problemowych i zadaniach na dowodzenie</w:t>
            </w:r>
          </w:p>
        </w:tc>
      </w:tr>
      <w:tr w:rsidR="00285718" w14:paraId="519BC312" w14:textId="77777777" w:rsidTr="003C6666">
        <w:tc>
          <w:tcPr>
            <w:tcW w:w="14480" w:type="dxa"/>
            <w:gridSpan w:val="6"/>
          </w:tcPr>
          <w:p w14:paraId="0EFE6CAC" w14:textId="7FECAD3F" w:rsidR="00285718" w:rsidRPr="00B54F99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45FAD">
              <w:t xml:space="preserve"> Dział 5. Wprowadzenie do rachunku prawdopodobieństwa</w:t>
            </w:r>
          </w:p>
        </w:tc>
      </w:tr>
      <w:tr w:rsidR="00285718" w14:paraId="5BDD084C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5F977968" w14:textId="02622B72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oblicza, ile jest obiektów o danej własności dogodną dla siebie metodą w prostych przypadkach, np. ile jest: liczb naturalnych dwucyfrowych, trzycyfrowych, dzielników dwucyfrowej liczby naturalnej, dwucyfrowych liczb pierwszych (złożonych) </w:t>
            </w:r>
            <w:r w:rsidRPr="00FD38B4">
              <w:rPr>
                <w:sz w:val="20"/>
                <w:szCs w:val="20"/>
              </w:rPr>
              <w:br/>
              <w:t xml:space="preserve">• przeprowadza proste doświadczenia losowe polegające np. na rzucie monetą, rzucie sześcienną kostką do gry, rzucie kostką wielościenną lub losowaniu kuli spośród zestawu kul i zapisuje ich wyniki w dogodny dla siebie sposób </w:t>
            </w:r>
            <w:r w:rsidRPr="00FD38B4">
              <w:rPr>
                <w:sz w:val="20"/>
                <w:szCs w:val="20"/>
              </w:rPr>
              <w:br/>
              <w:t xml:space="preserve">• rozpoznaje zdarzenia pewne i niemożliwe w doświadczeniach losowych </w:t>
            </w:r>
            <w:r w:rsidRPr="00FD38B4">
              <w:rPr>
                <w:sz w:val="20"/>
                <w:szCs w:val="20"/>
              </w:rPr>
              <w:br/>
              <w:t xml:space="preserve">• znajduje liczbę zdarzeń elementarnych sprzyjających pewnemu zdarzeniu w doświadczeniach losowych </w:t>
            </w:r>
            <w:r w:rsidRPr="00FD38B4">
              <w:rPr>
                <w:sz w:val="20"/>
                <w:szCs w:val="20"/>
              </w:rPr>
              <w:lastRenderedPageBreak/>
              <w:t xml:space="preserve">opisanych wyżej, a także wypisuje te zdarzenia w dogodny dla siebie sposób </w:t>
            </w:r>
            <w:r w:rsidRPr="00FD38B4">
              <w:rPr>
                <w:sz w:val="20"/>
                <w:szCs w:val="20"/>
              </w:rPr>
              <w:br/>
              <w:t>• oblicza prawdopodobieństwa zdarzeń w doświadczeniach losowych polegających na rzucie monetą, rzucie sześcienną kostką do gry, rzucie kostką wielościenną lub losowaniu kuli spośród zestawu kul</w:t>
            </w:r>
          </w:p>
        </w:tc>
        <w:tc>
          <w:tcPr>
            <w:tcW w:w="2693" w:type="dxa"/>
          </w:tcPr>
          <w:p w14:paraId="51196BE3" w14:textId="0CAE9E3A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analizuje wyniki prostych doświadczeń losowych polegających np. na rzucie monetą, rzucie sześcienną kostką do gry, rzucie kostką wielościenną lub losowaniu kuli spośród zestawu kul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analizuje wyniki doświadczeń losowych przedstawionych w postaci drzewa</w:t>
            </w:r>
          </w:p>
        </w:tc>
        <w:tc>
          <w:tcPr>
            <w:tcW w:w="3261" w:type="dxa"/>
          </w:tcPr>
          <w:p w14:paraId="574CCCE3" w14:textId="72D9CB99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wyprowadza wzór na liczbę kolejnych elementów skończonych zbiorów liczbowych i stosuje go do rozwiązywania zadań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oblicza, ile jest liczb o danej własności dogodną dla siebie metodą – trudniejsze przypadki, np. liczbę reszt z dzielenia dowolnej liczby naturalnej przez daną liczbę jednocyfrową 5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przedstawia wyniki doświadczenia losowego różnymi sposobami, np. za pomocą tabeli liczebności, tabeli częstości, diagramów słupkowych, kołowych procentowych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przedstawia wyniki doświadczenia losowego za pomocą drzewa</w:t>
            </w:r>
          </w:p>
        </w:tc>
        <w:tc>
          <w:tcPr>
            <w:tcW w:w="2835" w:type="dxa"/>
          </w:tcPr>
          <w:p w14:paraId="385D101C" w14:textId="17E154B5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znajduje liczbę zdarzeń sprzyjających pewnemu zdarzeniu w doświadczeniach losowych polegających na rzucie innymi kostkami niż sześcienna kostka do gry, a także wypisuje te zdarzenia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podaje, jaką minimalną i jaką maksymalną wartość może mieć prawdopodobieństwo zdarzenia w dowolnym doświadczeniu losowym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prawdopodobieństwa zdarzeń w doświadczeniach losowych polegających na rzucie innymi kostkami niż sześcienna kostka do gry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problemy, wykorzystując pojęcie prawdopodobieństwa zdarzenia losowego</w:t>
            </w:r>
          </w:p>
        </w:tc>
        <w:tc>
          <w:tcPr>
            <w:tcW w:w="2693" w:type="dxa"/>
          </w:tcPr>
          <w:p w14:paraId="653FCE5F" w14:textId="51D109A9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oblicza, ile jest liczb x spełniających warunki: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FD38B4">
              <w:rPr>
                <w:sz w:val="20"/>
                <w:szCs w:val="20"/>
              </w:rPr>
              <w:t xml:space="preserve">, a &lt; x &lt; b,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FD38B4">
              <w:rPr>
                <w:sz w:val="20"/>
                <w:szCs w:val="20"/>
              </w:rPr>
              <w:t xml:space="preserve"> &lt;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FD38B4">
              <w:rPr>
                <w:sz w:val="20"/>
                <w:szCs w:val="20"/>
              </w:rPr>
              <w:t xml:space="preserve">,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FD38B4">
              <w:rPr>
                <w:sz w:val="20"/>
                <w:szCs w:val="20"/>
              </w:rPr>
              <w:t xml:space="preserve"> &lt;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FD38B4">
              <w:rPr>
                <w:sz w:val="20"/>
                <w:szCs w:val="20"/>
              </w:rPr>
              <w:t>, gdzie a i b są liczbami całkowitymi</w:t>
            </w:r>
          </w:p>
        </w:tc>
      </w:tr>
      <w:tr w:rsidR="00FD0614" w14:paraId="5FBFC3DA" w14:textId="77777777" w:rsidTr="00E721D7">
        <w:tc>
          <w:tcPr>
            <w:tcW w:w="14480" w:type="dxa"/>
            <w:gridSpan w:val="6"/>
          </w:tcPr>
          <w:p w14:paraId="504AC6F7" w14:textId="25171556" w:rsidR="00FD0614" w:rsidRPr="00B54F99" w:rsidRDefault="00FD0614" w:rsidP="00E721D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1F29">
              <w:t xml:space="preserve"> Dział 6. Okrąg, koło i pierścień kołowy</w:t>
            </w:r>
          </w:p>
        </w:tc>
      </w:tr>
      <w:tr w:rsidR="00FD0614" w14:paraId="5EBBA37C" w14:textId="77777777" w:rsidTr="00E721D7">
        <w:trPr>
          <w:gridAfter w:val="1"/>
          <w:wAfter w:w="26" w:type="dxa"/>
        </w:trPr>
        <w:tc>
          <w:tcPr>
            <w:tcW w:w="2972" w:type="dxa"/>
          </w:tcPr>
          <w:p w14:paraId="5AC95F08" w14:textId="0130A91D" w:rsidR="00FD0614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 długość okręgu i pole koła o danym promieniu lub danej średnicy, korzystając ze wzorów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oblicza pole pierścienia kołowego o danych promieniach lub średnicach obu okręgów tworzących pierścień, korzystając ze wzoru</w:t>
            </w:r>
          </w:p>
        </w:tc>
        <w:tc>
          <w:tcPr>
            <w:tcW w:w="2693" w:type="dxa"/>
          </w:tcPr>
          <w:p w14:paraId="7B7A9C73" w14:textId="77777777" w:rsidR="0005748C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 promień lub średnicę okręgu o danej długości okręgu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promień lub średnicę koła o danym polu </w:t>
            </w:r>
          </w:p>
          <w:p w14:paraId="7A4F91C4" w14:textId="0103E77B" w:rsidR="00FD0614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rozwiązuje zadania o treści praktycznej z zastosowaniem obliczania długości okręgu i pola koła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zadania o treści praktycznej z zastosowaniem obliczania pola pierścienia kołowego</w:t>
            </w:r>
          </w:p>
        </w:tc>
        <w:tc>
          <w:tcPr>
            <w:tcW w:w="3261" w:type="dxa"/>
          </w:tcPr>
          <w:p w14:paraId="59980091" w14:textId="309720AB" w:rsidR="00FD0614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przekształca wzór na długość okręgu, aby obliczyć promień lub średnicę okręgu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przekształca wzór na pole koła, aby obliczyć promień lub średnicę koła </w:t>
            </w:r>
            <w:r w:rsidR="008B49FF" w:rsidRPr="00FD38B4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14:paraId="375A97F6" w14:textId="58363C3B" w:rsidR="00FD0614" w:rsidRPr="00FD38B4" w:rsidRDefault="004E7521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wyprowadza wzór na pole pierścienia kołowego</w:t>
            </w:r>
          </w:p>
        </w:tc>
        <w:tc>
          <w:tcPr>
            <w:tcW w:w="2693" w:type="dxa"/>
          </w:tcPr>
          <w:p w14:paraId="298497AD" w14:textId="350885FB" w:rsidR="00FD0614" w:rsidRPr="00FD38B4" w:rsidRDefault="007D1F29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rozwiązuje zadania</w:t>
            </w:r>
            <w:r w:rsidR="004E7521" w:rsidRPr="00FD38B4">
              <w:rPr>
                <w:sz w:val="20"/>
                <w:szCs w:val="20"/>
              </w:rPr>
              <w:t xml:space="preserve"> problematyczne i zadania dowodowe</w:t>
            </w:r>
            <w:r w:rsidRPr="00FD38B4">
              <w:rPr>
                <w:sz w:val="20"/>
                <w:szCs w:val="20"/>
              </w:rPr>
              <w:t xml:space="preserve"> z zastosowaniem obliczania długości okręgu, pola koła i pola pierścienia kołowego</w:t>
            </w:r>
          </w:p>
        </w:tc>
      </w:tr>
      <w:tr w:rsidR="00FD0614" w14:paraId="38765405" w14:textId="77777777" w:rsidTr="00E721D7">
        <w:tc>
          <w:tcPr>
            <w:tcW w:w="14480" w:type="dxa"/>
            <w:gridSpan w:val="6"/>
          </w:tcPr>
          <w:p w14:paraId="5843B4A7" w14:textId="601BBEE0" w:rsidR="00FD0614" w:rsidRPr="00B54F99" w:rsidRDefault="00FD0614" w:rsidP="00E721D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8B49FF">
              <w:t xml:space="preserve"> Dział 7. Symetrie</w:t>
            </w:r>
          </w:p>
        </w:tc>
      </w:tr>
      <w:tr w:rsidR="00FD0614" w14:paraId="7C5AB8E9" w14:textId="77777777" w:rsidTr="00E721D7">
        <w:trPr>
          <w:gridAfter w:val="1"/>
          <w:wAfter w:w="26" w:type="dxa"/>
        </w:trPr>
        <w:tc>
          <w:tcPr>
            <w:tcW w:w="2972" w:type="dxa"/>
          </w:tcPr>
          <w:p w14:paraId="2E820621" w14:textId="5A568F75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rozpoznaje symetralną odcinka i dwusieczną kąta </w:t>
            </w:r>
            <w:r w:rsidRPr="00FD38B4">
              <w:rPr>
                <w:sz w:val="20"/>
                <w:szCs w:val="20"/>
              </w:rPr>
              <w:br/>
              <w:t xml:space="preserve">• rozpoznaje figury osiowosymetryczne i środkowosymetryczne </w:t>
            </w:r>
            <w:r w:rsidRPr="00FD38B4">
              <w:rPr>
                <w:sz w:val="20"/>
                <w:szCs w:val="20"/>
              </w:rPr>
              <w:br/>
              <w:t xml:space="preserve">• wskazuje na rysunku osie symetrii figur osiowosymetrycznych i środek symetrii figur środkowosymetrycznych </w:t>
            </w:r>
            <w:r w:rsidRPr="00FD38B4">
              <w:rPr>
                <w:sz w:val="20"/>
                <w:szCs w:val="20"/>
              </w:rPr>
              <w:br/>
              <w:t xml:space="preserve">• podaje podstawowe własności </w:t>
            </w:r>
            <w:r w:rsidRPr="00FD38B4">
              <w:rPr>
                <w:sz w:val="20"/>
                <w:szCs w:val="20"/>
              </w:rPr>
              <w:lastRenderedPageBreak/>
              <w:t xml:space="preserve">symetralnej odcinka i dwusiecznej kąta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14:paraId="4D31F050" w14:textId="7EFE780D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stosuje w zadaniach podstawowe własności symetralnej odcinka i dwusiecznej kąta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uzupełnia figurę do figury osiowosymetrycznej przy danych: osi symetrii figury i części figury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uzupełnia figurę do figury środkowosymetrycznej przy danych: środku symetrii figury </w:t>
            </w:r>
            <w:r w:rsidRPr="00FD38B4">
              <w:rPr>
                <w:sz w:val="20"/>
                <w:szCs w:val="20"/>
              </w:rPr>
              <w:lastRenderedPageBreak/>
              <w:t xml:space="preserve">i części figury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rysuje figurę (np. punkt, odcinek, okrąg) symetryczną do danej względem prostej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rysuje figurę (np. punkt, odcinek, okrąg) symetryczną do danej względem punktu</w:t>
            </w:r>
          </w:p>
        </w:tc>
        <w:tc>
          <w:tcPr>
            <w:tcW w:w="3261" w:type="dxa"/>
          </w:tcPr>
          <w:p w14:paraId="0FDCFC1D" w14:textId="37B0ECA2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konstruuje symetralną odcinka i dwusieczną kąta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wyznacza współrzędne punktów symetrycznych do danych względem osi układu współrzędnych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wyznacza współrzędne punktów symetrycznych do danych względem początku układu współrzędnych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rysuje figurę (np. trójkąt, trapez) symetryczną do danej względem prostej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t xml:space="preserve">• rysuje figurę (np. trójkąt, trapez) symetryczną do danej względem punktu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rysuje na papierze w kratkę figury symetryczne względem osi i względem punktu</w:t>
            </w:r>
          </w:p>
        </w:tc>
        <w:tc>
          <w:tcPr>
            <w:tcW w:w="2835" w:type="dxa"/>
          </w:tcPr>
          <w:p w14:paraId="2BC0B037" w14:textId="1E067D5E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znajduje liczbę osi symetrii figur osiowosymetrycznych i zaznacza te osie na rysunku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znajduje środek symetrii figury lub uzasadnia jego brak </w:t>
            </w:r>
            <w:r w:rsidR="002765FD" w:rsidRPr="00FD38B4">
              <w:rPr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14:paraId="1A34F2FE" w14:textId="7A04473A" w:rsidR="00FD0614" w:rsidRPr="00FD38B4" w:rsidRDefault="00FB2696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rozwiązuje zadania problematyczne i zadania na dowodzenie z zastosowaniem własności symetralnej odcinka, dwusiecznej kąta oraz figur osiowo- i środkowosymetrycznych</w:t>
            </w:r>
          </w:p>
        </w:tc>
      </w:tr>
      <w:tr w:rsidR="00FD0614" w14:paraId="20281B06" w14:textId="77777777" w:rsidTr="00E721D7">
        <w:tc>
          <w:tcPr>
            <w:tcW w:w="14480" w:type="dxa"/>
            <w:gridSpan w:val="6"/>
          </w:tcPr>
          <w:p w14:paraId="3C2630BA" w14:textId="1B34C41A" w:rsidR="00FD0614" w:rsidRPr="00B54F99" w:rsidRDefault="00FD0614" w:rsidP="00E721D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8B49FF">
              <w:t xml:space="preserve"> Dział 8. Kombinatoryka i rachunek prawdopodobieństwa</w:t>
            </w:r>
          </w:p>
        </w:tc>
      </w:tr>
      <w:tr w:rsidR="00FD0614" w14:paraId="516425B7" w14:textId="77777777" w:rsidTr="00E721D7">
        <w:trPr>
          <w:gridAfter w:val="1"/>
          <w:wAfter w:w="26" w:type="dxa"/>
        </w:trPr>
        <w:tc>
          <w:tcPr>
            <w:tcW w:w="2972" w:type="dxa"/>
          </w:tcPr>
          <w:p w14:paraId="3DA18BA6" w14:textId="2752F738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</w:t>
            </w:r>
            <w:r w:rsidR="00FB2696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regułę mnożenia do zliczania elementów zbiorów o określonych własnościach</w:t>
            </w:r>
            <w:r w:rsidRPr="00FD38B4">
              <w:rPr>
                <w:sz w:val="20"/>
                <w:szCs w:val="20"/>
              </w:rPr>
              <w:br/>
              <w:t xml:space="preserve">• </w:t>
            </w:r>
            <w:r w:rsidR="00FB2696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regułę dodawania i mnożenia do zliczania elementów zbiorów</w:t>
            </w:r>
            <w:r w:rsidRPr="00FD38B4">
              <w:rPr>
                <w:sz w:val="20"/>
                <w:szCs w:val="20"/>
              </w:rPr>
              <w:br/>
              <w:t xml:space="preserve">• znajduje liczbę zdarzeń elementarnych sprzyjających pewnemu zdarzeniu w doświadczeniach losowych polegających na dwukrotnym rzucie kostką do gry albo dwukrotnym losowaniu kuli spośród zestawu kul ze zwracaniem lub bez zwracania </w:t>
            </w:r>
            <w:r w:rsidRPr="00FD38B4">
              <w:rPr>
                <w:sz w:val="20"/>
                <w:szCs w:val="20"/>
              </w:rPr>
              <w:br/>
              <w:t>• zapisuje zdarzenia elementarne w powyższych doświadczeń losowych w dogodny dla siebie sposób</w:t>
            </w:r>
          </w:p>
        </w:tc>
        <w:tc>
          <w:tcPr>
            <w:tcW w:w="2693" w:type="dxa"/>
          </w:tcPr>
          <w:p w14:paraId="79772A4E" w14:textId="71BEFF4C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rozpoznaje, czy można uzyskać wyniki sprzyjające danemu zdarzeniu, oraz rozpoznaje zdarzenia pewne i niemożliwe – w doświadczeniach losowych polegających na dwukrotnym rzucie kostką do gry albo dwukrotnym losowaniu kuli spośród zestawu kul ze zwracaniem lub bez zwracania</w:t>
            </w:r>
            <w:r w:rsidRPr="00FD38B4">
              <w:rPr>
                <w:sz w:val="20"/>
                <w:szCs w:val="20"/>
              </w:rPr>
              <w:br/>
              <w:t xml:space="preserve">• oblicza prawdopodobieństwa zdarzeń w doświadczeniach, polegających na dwukrotnym rzucie kostką do gry albo losowaniu dwóch elementów ze zwracaniem lub bez zwracania </w:t>
            </w:r>
          </w:p>
        </w:tc>
        <w:tc>
          <w:tcPr>
            <w:tcW w:w="3261" w:type="dxa"/>
          </w:tcPr>
          <w:p w14:paraId="6B9EEBB8" w14:textId="23002CA6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przedstawia w postaci drzewa wyniki doświadczeń losowych polegających na dwukrotnym rzucie kostką do gry albo dwukrotnym losowaniu kuli spośród zestawu kul ze zwracaniem lub bez zwracania </w:t>
            </w:r>
            <w:r w:rsidRPr="00FD38B4">
              <w:rPr>
                <w:sz w:val="20"/>
                <w:szCs w:val="20"/>
              </w:rPr>
              <w:br/>
              <w:t>• oblicza prawdopodobieństwa zdarzeń w doświadczeniach polegających na dwukrotnym rzucie kostką do gry albo losowaniu dwóch elementów ze zwracaniem lub bez zwracania w typowych zadaniach</w:t>
            </w:r>
          </w:p>
        </w:tc>
        <w:tc>
          <w:tcPr>
            <w:tcW w:w="2835" w:type="dxa"/>
          </w:tcPr>
          <w:p w14:paraId="4AC5D593" w14:textId="5E285A00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stosuje regułę dodawania i mnożenia do zliczania elementów zbiorów w sytuacjach wymagających rozważenia kilku przypadków</w:t>
            </w:r>
            <w:r w:rsidRPr="00FD38B4">
              <w:rPr>
                <w:sz w:val="20"/>
                <w:szCs w:val="20"/>
              </w:rPr>
              <w:br/>
            </w:r>
            <w:r w:rsidR="007D161D" w:rsidRPr="00FD38B4">
              <w:rPr>
                <w:sz w:val="20"/>
                <w:szCs w:val="20"/>
              </w:rPr>
              <w:t>• oblicza prawdopodobieństwa zdarzeń w doświadczeniach polegających na losowaniu trzech elementów ze zwracaniem lub bez zwracania w nietypowych zadaniach</w:t>
            </w:r>
          </w:p>
        </w:tc>
        <w:tc>
          <w:tcPr>
            <w:tcW w:w="2693" w:type="dxa"/>
          </w:tcPr>
          <w:p w14:paraId="229F3941" w14:textId="264D3690" w:rsidR="00FD0614" w:rsidRPr="00FD38B4" w:rsidRDefault="002765FD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rozwiązuje zadania dotyczące obliczania prawdopodobieństwa zdarzeń w doświadczeniach polegających na </w:t>
            </w:r>
            <w:r w:rsidR="00FD38B4" w:rsidRPr="00FD38B4">
              <w:rPr>
                <w:sz w:val="20"/>
                <w:szCs w:val="20"/>
              </w:rPr>
              <w:t xml:space="preserve">wielokrotnych </w:t>
            </w:r>
            <w:r w:rsidRPr="00FD38B4">
              <w:rPr>
                <w:sz w:val="20"/>
                <w:szCs w:val="20"/>
              </w:rPr>
              <w:t>rzu</w:t>
            </w:r>
            <w:r w:rsidR="00FD38B4" w:rsidRPr="00FD38B4">
              <w:rPr>
                <w:sz w:val="20"/>
                <w:szCs w:val="20"/>
              </w:rPr>
              <w:t>tach</w:t>
            </w:r>
            <w:r w:rsidRPr="00FD38B4">
              <w:rPr>
                <w:sz w:val="20"/>
                <w:szCs w:val="20"/>
              </w:rPr>
              <w:t xml:space="preserve"> kostką do gry albo </w:t>
            </w:r>
            <w:r w:rsidR="00FD38B4" w:rsidRPr="00FD38B4">
              <w:rPr>
                <w:sz w:val="20"/>
                <w:szCs w:val="20"/>
              </w:rPr>
              <w:t>wielok</w:t>
            </w:r>
            <w:r w:rsidRPr="00FD38B4">
              <w:rPr>
                <w:sz w:val="20"/>
                <w:szCs w:val="20"/>
              </w:rPr>
              <w:t>rotnym losowaniu kuli spośród zestawu kul ze zwracaniem lub bez zwracania</w:t>
            </w:r>
          </w:p>
        </w:tc>
      </w:tr>
    </w:tbl>
    <w:p w14:paraId="10F36D24" w14:textId="77777777" w:rsidR="00FD0614" w:rsidRPr="00F73264" w:rsidRDefault="00FD0614" w:rsidP="00FD061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5C6A9EE" w14:textId="10D49838" w:rsidR="00B54F99" w:rsidRDefault="002C3B8B" w:rsidP="00B54F99">
      <w:pPr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Kolejność działów może ulec zmianie. Nauczyciel poinformuje o tym uczniów i rodziców.</w:t>
      </w:r>
    </w:p>
    <w:p w14:paraId="299C7305" w14:textId="77777777" w:rsidR="002310EF" w:rsidRDefault="002310EF" w:rsidP="002310EF">
      <w:pPr>
        <w:jc w:val="center"/>
        <w:rPr>
          <w:rFonts w:ascii="Times" w:hAnsi="Times"/>
          <w:bCs/>
        </w:rPr>
      </w:pPr>
    </w:p>
    <w:p w14:paraId="4E55D432" w14:textId="77777777" w:rsidR="00E80A49" w:rsidRPr="002310EF" w:rsidRDefault="00E80A49" w:rsidP="00E80A49">
      <w:pPr>
        <w:jc w:val="center"/>
        <w:rPr>
          <w:rFonts w:ascii="Times New Roman" w:hAnsi="Times New Roman" w:cs="Times New Roman"/>
          <w:bCs/>
        </w:rPr>
      </w:pPr>
      <w:r w:rsidRPr="002310EF">
        <w:rPr>
          <w:rFonts w:ascii="Times New Roman" w:hAnsi="Times New Roman" w:cs="Times New Roman"/>
        </w:rPr>
        <w:t>W klasach dwujęzycznych obowiązuje przy rozwiązywaniu zadań słownictwo matematyczno-angielskie poznane w trakcie lekcji.</w:t>
      </w:r>
    </w:p>
    <w:p w14:paraId="2D64E99A" w14:textId="0336FC5D" w:rsidR="00285718" w:rsidRPr="00285718" w:rsidRDefault="00285718" w:rsidP="00285718">
      <w:pPr>
        <w:pStyle w:val="NormalnyWeb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7F15664B" w14:textId="72EBED80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lastRenderedPageBreak/>
        <w:t>Program nauczania:</w:t>
      </w:r>
      <w:r w:rsidR="002C3B8B" w:rsidRPr="002C3B8B">
        <w:t xml:space="preserve"> </w:t>
      </w:r>
      <w:r w:rsidR="002C3B8B">
        <w:t>Matematyka</w:t>
      </w:r>
      <w:r w:rsidR="002310EF">
        <w:t xml:space="preserve"> wokół nas,</w:t>
      </w:r>
      <w:r w:rsidR="002C3B8B">
        <w:t xml:space="preserve"> klasy 4-8</w:t>
      </w:r>
      <w:r w:rsidR="002310EF">
        <w:t>,</w:t>
      </w:r>
      <w:r w:rsidR="002C3B8B">
        <w:t xml:space="preserve"> </w:t>
      </w:r>
      <w:r w:rsidR="002310EF" w:rsidRPr="00890C05">
        <w:rPr>
          <w:rStyle w:val="normaltextrun"/>
          <w:color w:val="000000"/>
          <w:sz w:val="22"/>
          <w:szCs w:val="22"/>
          <w:shd w:val="clear" w:color="auto" w:fill="FFFFFF"/>
        </w:rPr>
        <w:t>H. Lewicka, M. Kowalczyk, A. Drążek</w:t>
      </w:r>
      <w:r w:rsidR="002310EF" w:rsidRPr="00890C05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C7D2D82" w14:textId="521E1CD9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Podstawa programowa</w:t>
      </w:r>
      <w:r w:rsidR="002C3B8B">
        <w:t xml:space="preserve"> nauczania matematyki w szkole podstawowej</w:t>
      </w:r>
    </w:p>
    <w:p w14:paraId="465889B1" w14:textId="6737AD44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14:paraId="160E66F9" w14:textId="77777777"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11A23"/>
    <w:rsid w:val="0005748C"/>
    <w:rsid w:val="000A0CEF"/>
    <w:rsid w:val="000F485F"/>
    <w:rsid w:val="001F59C6"/>
    <w:rsid w:val="002310EF"/>
    <w:rsid w:val="00267E7C"/>
    <w:rsid w:val="002765FD"/>
    <w:rsid w:val="00285718"/>
    <w:rsid w:val="002A6C9B"/>
    <w:rsid w:val="002C3B8B"/>
    <w:rsid w:val="00303BBF"/>
    <w:rsid w:val="003555A5"/>
    <w:rsid w:val="003A323F"/>
    <w:rsid w:val="003C6666"/>
    <w:rsid w:val="004170C9"/>
    <w:rsid w:val="00453F44"/>
    <w:rsid w:val="004E4858"/>
    <w:rsid w:val="004E7521"/>
    <w:rsid w:val="005064F2"/>
    <w:rsid w:val="006026BD"/>
    <w:rsid w:val="00637ACF"/>
    <w:rsid w:val="00745FAD"/>
    <w:rsid w:val="007A2B2F"/>
    <w:rsid w:val="007A5F88"/>
    <w:rsid w:val="007C5B34"/>
    <w:rsid w:val="007D161D"/>
    <w:rsid w:val="007D1F29"/>
    <w:rsid w:val="007D665F"/>
    <w:rsid w:val="008B49FF"/>
    <w:rsid w:val="009921D1"/>
    <w:rsid w:val="009A330D"/>
    <w:rsid w:val="009D7165"/>
    <w:rsid w:val="00A235B2"/>
    <w:rsid w:val="00A429C5"/>
    <w:rsid w:val="00B54F99"/>
    <w:rsid w:val="00BA27B2"/>
    <w:rsid w:val="00C5195B"/>
    <w:rsid w:val="00D07FE0"/>
    <w:rsid w:val="00D73067"/>
    <w:rsid w:val="00D8355B"/>
    <w:rsid w:val="00E42B59"/>
    <w:rsid w:val="00E55A9E"/>
    <w:rsid w:val="00E739D8"/>
    <w:rsid w:val="00E80A49"/>
    <w:rsid w:val="00EF1465"/>
    <w:rsid w:val="00F147B0"/>
    <w:rsid w:val="00F35B2E"/>
    <w:rsid w:val="00F67683"/>
    <w:rsid w:val="00F73264"/>
    <w:rsid w:val="00F93661"/>
    <w:rsid w:val="00FB2696"/>
    <w:rsid w:val="00FD0614"/>
    <w:rsid w:val="00FD38B4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42B5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310EF"/>
  </w:style>
  <w:style w:type="character" w:customStyle="1" w:styleId="eop">
    <w:name w:val="eop"/>
    <w:basedOn w:val="Domylnaczcionkaakapitu"/>
    <w:rsid w:val="0023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42B5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310EF"/>
  </w:style>
  <w:style w:type="character" w:customStyle="1" w:styleId="eop">
    <w:name w:val="eop"/>
    <w:basedOn w:val="Domylnaczcionkaakapitu"/>
    <w:rsid w:val="0023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694C9-F86E-4FB4-ACD0-9BF02447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Nauczyciel</cp:lastModifiedBy>
  <cp:revision>2</cp:revision>
  <dcterms:created xsi:type="dcterms:W3CDTF">2021-08-30T12:36:00Z</dcterms:created>
  <dcterms:modified xsi:type="dcterms:W3CDTF">2021-08-30T12:36:00Z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